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42068" w14:textId="77777777" w:rsidR="008505BA" w:rsidRPr="0078109B" w:rsidRDefault="008505BA" w:rsidP="0078109B">
      <w:pPr>
        <w:rPr>
          <w:b/>
          <w:sz w:val="24"/>
          <w:szCs w:val="24"/>
        </w:rPr>
      </w:pPr>
      <w:r w:rsidRPr="0078109B">
        <w:rPr>
          <w:b/>
          <w:sz w:val="24"/>
          <w:szCs w:val="24"/>
        </w:rPr>
        <w:t xml:space="preserve">Swansea University Strategic Statement on </w:t>
      </w:r>
      <w:r w:rsidR="00660D53" w:rsidRPr="0078109B">
        <w:rPr>
          <w:b/>
          <w:sz w:val="24"/>
          <w:szCs w:val="24"/>
        </w:rPr>
        <w:t>Collaborative Provision</w:t>
      </w:r>
    </w:p>
    <w:p w14:paraId="247C031C" w14:textId="77777777" w:rsidR="008505BA" w:rsidRPr="0078109B" w:rsidRDefault="008505BA" w:rsidP="0078109B">
      <w:pPr>
        <w:rPr>
          <w:i/>
          <w:sz w:val="24"/>
          <w:szCs w:val="24"/>
        </w:rPr>
      </w:pPr>
      <w:r w:rsidRPr="0078109B">
        <w:rPr>
          <w:i/>
          <w:sz w:val="24"/>
          <w:szCs w:val="24"/>
        </w:rPr>
        <w:t>This strategic</w:t>
      </w:r>
      <w:r w:rsidR="004F4ECB" w:rsidRPr="0078109B">
        <w:rPr>
          <w:i/>
          <w:sz w:val="24"/>
          <w:szCs w:val="24"/>
        </w:rPr>
        <w:t xml:space="preserve"> Statement acknowledges that the University's strategies for Learning and Teaching, Research and Innovation, Internationalisation and TNE dovetail with the University's overall Strategic Plan</w:t>
      </w:r>
      <w:r w:rsidR="00660D53" w:rsidRPr="0078109B">
        <w:rPr>
          <w:i/>
          <w:sz w:val="24"/>
          <w:szCs w:val="24"/>
        </w:rPr>
        <w:t>.</w:t>
      </w:r>
    </w:p>
    <w:p w14:paraId="44900E08" w14:textId="77777777" w:rsidR="00F275BE" w:rsidRPr="0078109B" w:rsidRDefault="00F275BE" w:rsidP="0078109B">
      <w:pPr>
        <w:rPr>
          <w:sz w:val="24"/>
          <w:szCs w:val="24"/>
        </w:rPr>
      </w:pPr>
      <w:bookmarkStart w:id="0" w:name="_GoBack"/>
      <w:r w:rsidRPr="0078109B">
        <w:rPr>
          <w:sz w:val="24"/>
          <w:szCs w:val="24"/>
        </w:rPr>
        <w:t>The University embraces the benefits of collaboration</w:t>
      </w:r>
      <w:r w:rsidR="00660D53" w:rsidRPr="0078109B">
        <w:rPr>
          <w:sz w:val="24"/>
          <w:szCs w:val="24"/>
        </w:rPr>
        <w:t xml:space="preserve"> through academic partnerships</w:t>
      </w:r>
      <w:r w:rsidRPr="0078109B">
        <w:rPr>
          <w:sz w:val="24"/>
          <w:szCs w:val="24"/>
        </w:rPr>
        <w:t xml:space="preserve">, and </w:t>
      </w:r>
      <w:bookmarkEnd w:id="0"/>
      <w:r w:rsidRPr="0078109B">
        <w:rPr>
          <w:sz w:val="24"/>
          <w:szCs w:val="24"/>
        </w:rPr>
        <w:t xml:space="preserve">the opportunities that it brings to the institution and to its students. Working with partners builds strategic links, enhances the University’s reputation and furthers the University's network of supporters and alumni. </w:t>
      </w:r>
    </w:p>
    <w:p w14:paraId="65771FF9" w14:textId="77777777" w:rsidR="008505BA" w:rsidRPr="0078109B" w:rsidRDefault="008505BA" w:rsidP="0078109B">
      <w:pPr>
        <w:rPr>
          <w:sz w:val="24"/>
          <w:szCs w:val="24"/>
        </w:rPr>
      </w:pPr>
      <w:r w:rsidRPr="0078109B">
        <w:rPr>
          <w:sz w:val="24"/>
          <w:szCs w:val="24"/>
        </w:rPr>
        <w:t>The University defines academic partnerships as formal relationships with organisations and institutions, external to the university, established with the intention to facilitate the development of academic teaching and/or research</w:t>
      </w:r>
      <w:r w:rsidR="00434BA1" w:rsidRPr="0078109B">
        <w:rPr>
          <w:sz w:val="24"/>
          <w:szCs w:val="24"/>
        </w:rPr>
        <w:t>.</w:t>
      </w:r>
    </w:p>
    <w:p w14:paraId="26126FD8" w14:textId="77777777" w:rsidR="00F275BE" w:rsidRPr="0078109B" w:rsidRDefault="00F275BE" w:rsidP="0078109B">
      <w:pPr>
        <w:rPr>
          <w:sz w:val="24"/>
          <w:szCs w:val="24"/>
        </w:rPr>
      </w:pPr>
      <w:r w:rsidRPr="0078109B">
        <w:rPr>
          <w:sz w:val="24"/>
          <w:szCs w:val="24"/>
        </w:rPr>
        <w:t xml:space="preserve">The University is responsible for the quality of all education delivered in its name, as </w:t>
      </w:r>
      <w:r w:rsidR="008505BA" w:rsidRPr="0078109B">
        <w:rPr>
          <w:sz w:val="24"/>
          <w:szCs w:val="24"/>
        </w:rPr>
        <w:t xml:space="preserve">outlined in the expectation of the UK Quality Code for Higher Education and UK Quality Code Advice and Guidance:  Partnerships.  </w:t>
      </w:r>
      <w:r w:rsidRPr="0078109B">
        <w:rPr>
          <w:sz w:val="24"/>
          <w:szCs w:val="24"/>
        </w:rPr>
        <w:t xml:space="preserve">The University is not responsible for the educational quality or academic standards of awards made by other institutions. However, where partnerships are established which include an academic contribution towards, or entry to a </w:t>
      </w:r>
      <w:r w:rsidR="008505BA" w:rsidRPr="0078109B">
        <w:rPr>
          <w:sz w:val="24"/>
          <w:szCs w:val="24"/>
        </w:rPr>
        <w:t xml:space="preserve">Swansea </w:t>
      </w:r>
      <w:r w:rsidRPr="0078109B">
        <w:rPr>
          <w:sz w:val="24"/>
          <w:szCs w:val="24"/>
        </w:rPr>
        <w:t xml:space="preserve">University </w:t>
      </w:r>
      <w:r w:rsidR="008505BA" w:rsidRPr="0078109B">
        <w:rPr>
          <w:sz w:val="24"/>
          <w:szCs w:val="24"/>
        </w:rPr>
        <w:t>a</w:t>
      </w:r>
      <w:r w:rsidRPr="0078109B">
        <w:rPr>
          <w:sz w:val="24"/>
          <w:szCs w:val="24"/>
        </w:rPr>
        <w:t xml:space="preserve">ward, the University must maintain confidence in the output standards of those arrangements. </w:t>
      </w:r>
    </w:p>
    <w:p w14:paraId="2C5989E3" w14:textId="77777777" w:rsidR="008505BA" w:rsidRPr="0078109B" w:rsidRDefault="00660D53" w:rsidP="0078109B">
      <w:pPr>
        <w:rPr>
          <w:rFonts w:cs="Arial"/>
          <w:sz w:val="24"/>
          <w:szCs w:val="24"/>
        </w:rPr>
      </w:pPr>
      <w:r w:rsidRPr="0078109B">
        <w:rPr>
          <w:rFonts w:cs="Arial"/>
          <w:sz w:val="24"/>
          <w:szCs w:val="24"/>
        </w:rPr>
        <w:t>Swansea University</w:t>
      </w:r>
      <w:r w:rsidR="008505BA" w:rsidRPr="0078109B">
        <w:rPr>
          <w:rFonts w:cs="Arial"/>
          <w:sz w:val="24"/>
          <w:szCs w:val="24"/>
        </w:rPr>
        <w:t xml:space="preserve"> aims</w:t>
      </w:r>
      <w:r w:rsidRPr="0078109B">
        <w:rPr>
          <w:rFonts w:cs="Arial"/>
          <w:sz w:val="24"/>
          <w:szCs w:val="24"/>
        </w:rPr>
        <w:t>,</w:t>
      </w:r>
      <w:r w:rsidR="008505BA" w:rsidRPr="0078109B">
        <w:rPr>
          <w:rFonts w:cs="Arial"/>
          <w:sz w:val="24"/>
          <w:szCs w:val="24"/>
        </w:rPr>
        <w:t xml:space="preserve"> in entering into </w:t>
      </w:r>
      <w:r w:rsidRPr="0078109B">
        <w:rPr>
          <w:rFonts w:cs="Arial"/>
          <w:sz w:val="24"/>
          <w:szCs w:val="24"/>
        </w:rPr>
        <w:t>academic partnership</w:t>
      </w:r>
      <w:r w:rsidR="008505BA" w:rsidRPr="0078109B">
        <w:rPr>
          <w:rFonts w:cs="Arial"/>
          <w:sz w:val="24"/>
          <w:szCs w:val="24"/>
        </w:rPr>
        <w:t xml:space="preserve"> arrangements</w:t>
      </w:r>
      <w:r w:rsidR="004F4ECB" w:rsidRPr="0078109B">
        <w:rPr>
          <w:rFonts w:cs="Arial"/>
          <w:sz w:val="24"/>
          <w:szCs w:val="24"/>
        </w:rPr>
        <w:t>,</w:t>
      </w:r>
      <w:r w:rsidR="008505BA" w:rsidRPr="0078109B">
        <w:rPr>
          <w:rFonts w:cs="Arial"/>
          <w:sz w:val="24"/>
          <w:szCs w:val="24"/>
        </w:rPr>
        <w:t xml:space="preserve"> to:</w:t>
      </w:r>
    </w:p>
    <w:p w14:paraId="020B89D5" w14:textId="54FD01EB" w:rsidR="00660D53" w:rsidRPr="0078109B" w:rsidRDefault="008505BA" w:rsidP="0078109B">
      <w:pPr>
        <w:pStyle w:val="ListParagraph"/>
        <w:numPr>
          <w:ilvl w:val="0"/>
          <w:numId w:val="3"/>
        </w:numPr>
        <w:rPr>
          <w:rFonts w:cs="Arial"/>
          <w:sz w:val="24"/>
          <w:szCs w:val="24"/>
        </w:rPr>
      </w:pPr>
      <w:r w:rsidRPr="0078109B">
        <w:rPr>
          <w:rFonts w:cs="Arial"/>
          <w:sz w:val="24"/>
          <w:szCs w:val="24"/>
        </w:rPr>
        <w:t xml:space="preserve">Enhance </w:t>
      </w:r>
      <w:r w:rsidR="00660D53" w:rsidRPr="0078109B">
        <w:rPr>
          <w:rFonts w:cs="Arial"/>
          <w:sz w:val="24"/>
          <w:szCs w:val="24"/>
        </w:rPr>
        <w:t>Swansea’s global profile</w:t>
      </w:r>
      <w:r w:rsidRPr="0078109B">
        <w:rPr>
          <w:rFonts w:cs="Arial"/>
          <w:sz w:val="24"/>
          <w:szCs w:val="24"/>
        </w:rPr>
        <w:t xml:space="preserve"> and re</w:t>
      </w:r>
      <w:r w:rsidR="00E410C9" w:rsidRPr="0078109B">
        <w:rPr>
          <w:rFonts w:cs="Arial"/>
          <w:sz w:val="24"/>
          <w:szCs w:val="24"/>
        </w:rPr>
        <w:t>putation</w:t>
      </w:r>
      <w:r w:rsidRPr="0078109B">
        <w:rPr>
          <w:rFonts w:cs="Arial"/>
          <w:sz w:val="24"/>
          <w:szCs w:val="24"/>
        </w:rPr>
        <w:t xml:space="preserve"> in </w:t>
      </w:r>
      <w:r w:rsidR="00755E20" w:rsidRPr="0078109B">
        <w:rPr>
          <w:rFonts w:cs="Arial"/>
          <w:sz w:val="24"/>
          <w:szCs w:val="24"/>
        </w:rPr>
        <w:t xml:space="preserve">a </w:t>
      </w:r>
      <w:r w:rsidRPr="0078109B">
        <w:rPr>
          <w:rFonts w:cs="Arial"/>
          <w:sz w:val="24"/>
          <w:szCs w:val="24"/>
        </w:rPr>
        <w:t>nat</w:t>
      </w:r>
      <w:r w:rsidR="00660D53" w:rsidRPr="0078109B">
        <w:rPr>
          <w:rFonts w:cs="Arial"/>
          <w:sz w:val="24"/>
          <w:szCs w:val="24"/>
        </w:rPr>
        <w:t>ional and international context</w:t>
      </w:r>
    </w:p>
    <w:p w14:paraId="0FB364FB" w14:textId="77777777" w:rsidR="008242C4" w:rsidRPr="0078109B" w:rsidRDefault="006E3AEA" w:rsidP="0078109B">
      <w:pPr>
        <w:pStyle w:val="ListParagraph"/>
        <w:numPr>
          <w:ilvl w:val="0"/>
          <w:numId w:val="3"/>
        </w:numPr>
        <w:rPr>
          <w:rFonts w:cs="Arial"/>
          <w:sz w:val="24"/>
          <w:szCs w:val="24"/>
        </w:rPr>
      </w:pPr>
      <w:r w:rsidRPr="0078109B">
        <w:rPr>
          <w:rFonts w:cs="Arial"/>
          <w:sz w:val="24"/>
          <w:szCs w:val="24"/>
        </w:rPr>
        <w:t xml:space="preserve">Enrich </w:t>
      </w:r>
      <w:r w:rsidR="00F305B6" w:rsidRPr="0078109B">
        <w:rPr>
          <w:rFonts w:cs="Arial"/>
          <w:sz w:val="24"/>
          <w:szCs w:val="24"/>
        </w:rPr>
        <w:t xml:space="preserve">the student </w:t>
      </w:r>
      <w:r w:rsidR="008242C4" w:rsidRPr="0078109B">
        <w:rPr>
          <w:rFonts w:cs="Arial"/>
          <w:sz w:val="24"/>
          <w:szCs w:val="24"/>
        </w:rPr>
        <w:t>experience</w:t>
      </w:r>
      <w:r w:rsidRPr="0078109B">
        <w:rPr>
          <w:rFonts w:cs="Arial"/>
          <w:sz w:val="24"/>
          <w:szCs w:val="24"/>
        </w:rPr>
        <w:t xml:space="preserve"> and the cultural diversity of the University</w:t>
      </w:r>
    </w:p>
    <w:p w14:paraId="7035B84A" w14:textId="77777777" w:rsidR="006E3AEA" w:rsidRPr="0078109B" w:rsidRDefault="006E3AEA" w:rsidP="0078109B">
      <w:pPr>
        <w:pStyle w:val="ListParagraph"/>
        <w:numPr>
          <w:ilvl w:val="0"/>
          <w:numId w:val="3"/>
        </w:numPr>
        <w:rPr>
          <w:rFonts w:cs="Arial"/>
          <w:sz w:val="24"/>
          <w:szCs w:val="24"/>
        </w:rPr>
      </w:pPr>
      <w:r w:rsidRPr="0078109B">
        <w:rPr>
          <w:rFonts w:cs="Arial"/>
          <w:sz w:val="24"/>
          <w:szCs w:val="24"/>
        </w:rPr>
        <w:t xml:space="preserve">Enhance the University’s </w:t>
      </w:r>
      <w:r w:rsidR="00755E20" w:rsidRPr="0078109B">
        <w:rPr>
          <w:rFonts w:cs="Arial"/>
          <w:sz w:val="24"/>
          <w:szCs w:val="24"/>
        </w:rPr>
        <w:t xml:space="preserve">regional, </w:t>
      </w:r>
      <w:r w:rsidRPr="0078109B">
        <w:rPr>
          <w:rFonts w:cs="Arial"/>
          <w:sz w:val="24"/>
          <w:szCs w:val="24"/>
        </w:rPr>
        <w:t>national and international impact</w:t>
      </w:r>
    </w:p>
    <w:p w14:paraId="111D724B" w14:textId="03D61714" w:rsidR="008505BA" w:rsidRPr="0078109B" w:rsidRDefault="006E3AEA" w:rsidP="0078109B">
      <w:pPr>
        <w:pStyle w:val="ListParagraph"/>
        <w:numPr>
          <w:ilvl w:val="0"/>
          <w:numId w:val="3"/>
        </w:numPr>
        <w:rPr>
          <w:rFonts w:cs="Arial"/>
          <w:sz w:val="24"/>
          <w:szCs w:val="24"/>
        </w:rPr>
      </w:pPr>
      <w:r w:rsidRPr="0078109B">
        <w:rPr>
          <w:rFonts w:cs="Arial"/>
          <w:sz w:val="24"/>
          <w:szCs w:val="24"/>
        </w:rPr>
        <w:t>Contribute to the University’s income diversification</w:t>
      </w:r>
    </w:p>
    <w:p w14:paraId="31B66C55" w14:textId="77777777" w:rsidR="00F275BE" w:rsidRPr="0078109B" w:rsidRDefault="005B58C0" w:rsidP="0078109B">
      <w:pPr>
        <w:rPr>
          <w:sz w:val="24"/>
          <w:szCs w:val="24"/>
        </w:rPr>
      </w:pPr>
      <w:r w:rsidRPr="0078109B">
        <w:rPr>
          <w:sz w:val="24"/>
          <w:szCs w:val="24"/>
        </w:rPr>
        <w:t>The follo</w:t>
      </w:r>
      <w:r w:rsidR="00755E20" w:rsidRPr="0078109B">
        <w:rPr>
          <w:sz w:val="24"/>
          <w:szCs w:val="24"/>
        </w:rPr>
        <w:t xml:space="preserve">wing key policy principles </w:t>
      </w:r>
      <w:r w:rsidRPr="0078109B">
        <w:rPr>
          <w:sz w:val="24"/>
          <w:szCs w:val="24"/>
        </w:rPr>
        <w:t>underpin all academic partnership activity which should</w:t>
      </w:r>
      <w:r w:rsidR="00F275BE" w:rsidRPr="0078109B">
        <w:rPr>
          <w:sz w:val="24"/>
          <w:szCs w:val="24"/>
        </w:rPr>
        <w:t xml:space="preserve">: </w:t>
      </w:r>
    </w:p>
    <w:p w14:paraId="3E66BE7D" w14:textId="77777777" w:rsidR="0062616A" w:rsidRPr="0078109B" w:rsidRDefault="00F275BE" w:rsidP="0078109B">
      <w:pPr>
        <w:pStyle w:val="ListParagraph"/>
        <w:numPr>
          <w:ilvl w:val="0"/>
          <w:numId w:val="4"/>
        </w:numPr>
        <w:rPr>
          <w:sz w:val="24"/>
          <w:szCs w:val="24"/>
        </w:rPr>
      </w:pPr>
      <w:r w:rsidRPr="0078109B">
        <w:rPr>
          <w:sz w:val="24"/>
          <w:szCs w:val="24"/>
        </w:rPr>
        <w:t>be consistent with the University’s Strategy</w:t>
      </w:r>
      <w:r w:rsidR="0062616A" w:rsidRPr="0078109B">
        <w:rPr>
          <w:sz w:val="24"/>
          <w:szCs w:val="24"/>
        </w:rPr>
        <w:t xml:space="preserve">, bringing clear benefits to all those involved and </w:t>
      </w:r>
      <w:r w:rsidR="00755E20" w:rsidRPr="0078109B">
        <w:rPr>
          <w:sz w:val="24"/>
          <w:szCs w:val="24"/>
        </w:rPr>
        <w:t xml:space="preserve">maintaining </w:t>
      </w:r>
      <w:r w:rsidR="0062616A" w:rsidRPr="0078109B">
        <w:rPr>
          <w:sz w:val="24"/>
          <w:szCs w:val="24"/>
        </w:rPr>
        <w:t>its reputation for academic excellence</w:t>
      </w:r>
      <w:r w:rsidRPr="0078109B">
        <w:rPr>
          <w:sz w:val="24"/>
          <w:szCs w:val="24"/>
        </w:rPr>
        <w:t xml:space="preserve">; </w:t>
      </w:r>
    </w:p>
    <w:p w14:paraId="06A69170" w14:textId="6F6FE436" w:rsidR="0062616A" w:rsidRPr="0078109B" w:rsidRDefault="0062616A" w:rsidP="0078109B">
      <w:pPr>
        <w:pStyle w:val="ListParagraph"/>
        <w:numPr>
          <w:ilvl w:val="0"/>
          <w:numId w:val="4"/>
        </w:numPr>
        <w:rPr>
          <w:rFonts w:cs="Arial"/>
          <w:sz w:val="24"/>
          <w:szCs w:val="24"/>
        </w:rPr>
      </w:pPr>
      <w:r w:rsidRPr="0078109B">
        <w:rPr>
          <w:rFonts w:cs="Arial"/>
          <w:sz w:val="24"/>
          <w:szCs w:val="24"/>
        </w:rPr>
        <w:t>be with organisations that are reputationally, fina</w:t>
      </w:r>
      <w:r w:rsidR="0078109B" w:rsidRPr="0078109B">
        <w:rPr>
          <w:rFonts w:cs="Arial"/>
          <w:sz w:val="24"/>
          <w:szCs w:val="24"/>
        </w:rPr>
        <w:t>n</w:t>
      </w:r>
      <w:r w:rsidRPr="0078109B">
        <w:rPr>
          <w:rFonts w:cs="Arial"/>
          <w:sz w:val="24"/>
          <w:szCs w:val="24"/>
        </w:rPr>
        <w:t>cially and legally sound and that have an appropriate academic standing;</w:t>
      </w:r>
    </w:p>
    <w:p w14:paraId="0D1EF40E" w14:textId="796E0BC8" w:rsidR="002A577E" w:rsidRPr="0078109B" w:rsidRDefault="002A577E" w:rsidP="0078109B">
      <w:pPr>
        <w:pStyle w:val="ListParagraph"/>
        <w:numPr>
          <w:ilvl w:val="0"/>
          <w:numId w:val="4"/>
        </w:numPr>
        <w:spacing w:line="252" w:lineRule="auto"/>
        <w:rPr>
          <w:sz w:val="24"/>
          <w:szCs w:val="24"/>
        </w:rPr>
      </w:pPr>
      <w:r w:rsidRPr="0078109B">
        <w:rPr>
          <w:sz w:val="24"/>
          <w:szCs w:val="24"/>
        </w:rPr>
        <w:t>be comparable, as a minimum, in quality of education and arrangements for ensuring academic standards, to that of campus-based provision at Swansea University;</w:t>
      </w:r>
    </w:p>
    <w:p w14:paraId="35FA8273" w14:textId="77777777" w:rsidR="005B58C0" w:rsidRPr="0078109B" w:rsidRDefault="005B58C0" w:rsidP="0078109B">
      <w:pPr>
        <w:pStyle w:val="ListParagraph"/>
        <w:numPr>
          <w:ilvl w:val="0"/>
          <w:numId w:val="4"/>
        </w:numPr>
        <w:rPr>
          <w:sz w:val="24"/>
          <w:szCs w:val="24"/>
        </w:rPr>
      </w:pPr>
      <w:r w:rsidRPr="0078109B">
        <w:rPr>
          <w:sz w:val="24"/>
          <w:szCs w:val="24"/>
        </w:rPr>
        <w:t>be subject to appropriate due diligence processes to identify and assess risks prior to commencement and how these are to be mitigated and managed;</w:t>
      </w:r>
    </w:p>
    <w:p w14:paraId="666B3949" w14:textId="77777777" w:rsidR="00EA6D4E" w:rsidRPr="0078109B" w:rsidRDefault="00EA6D4E" w:rsidP="0078109B">
      <w:pPr>
        <w:pStyle w:val="ListParagraph"/>
        <w:numPr>
          <w:ilvl w:val="0"/>
          <w:numId w:val="4"/>
        </w:numPr>
        <w:rPr>
          <w:sz w:val="24"/>
          <w:szCs w:val="24"/>
        </w:rPr>
      </w:pPr>
      <w:r w:rsidRPr="0078109B">
        <w:rPr>
          <w:sz w:val="24"/>
          <w:szCs w:val="24"/>
        </w:rPr>
        <w:t>be compliant with the University’s policy and procedures to meet the requirements of the Academic regulations;</w:t>
      </w:r>
    </w:p>
    <w:p w14:paraId="3A81989C" w14:textId="77777777" w:rsidR="00F275BE" w:rsidRPr="0078109B" w:rsidRDefault="00F275BE" w:rsidP="0078109B">
      <w:pPr>
        <w:pStyle w:val="ListParagraph"/>
        <w:numPr>
          <w:ilvl w:val="0"/>
          <w:numId w:val="4"/>
        </w:numPr>
        <w:rPr>
          <w:sz w:val="24"/>
          <w:szCs w:val="24"/>
        </w:rPr>
      </w:pPr>
      <w:r w:rsidRPr="0078109B">
        <w:rPr>
          <w:sz w:val="24"/>
          <w:szCs w:val="24"/>
        </w:rPr>
        <w:t xml:space="preserve">offer an equitable student experience for all students, regardless of the location of education provision; </w:t>
      </w:r>
    </w:p>
    <w:p w14:paraId="18C87283" w14:textId="77777777" w:rsidR="00F275BE" w:rsidRPr="0078109B" w:rsidRDefault="00F275BE" w:rsidP="0078109B">
      <w:pPr>
        <w:pStyle w:val="ListParagraph"/>
        <w:numPr>
          <w:ilvl w:val="0"/>
          <w:numId w:val="4"/>
        </w:numPr>
        <w:rPr>
          <w:sz w:val="24"/>
          <w:szCs w:val="24"/>
        </w:rPr>
      </w:pPr>
      <w:r w:rsidRPr="0078109B">
        <w:rPr>
          <w:sz w:val="24"/>
          <w:szCs w:val="24"/>
        </w:rPr>
        <w:lastRenderedPageBreak/>
        <w:t xml:space="preserve">be </w:t>
      </w:r>
      <w:proofErr w:type="gramStart"/>
      <w:r w:rsidRPr="0078109B">
        <w:rPr>
          <w:sz w:val="24"/>
          <w:szCs w:val="24"/>
        </w:rPr>
        <w:t>entered into</w:t>
      </w:r>
      <w:proofErr w:type="gramEnd"/>
      <w:r w:rsidRPr="0078109B">
        <w:rPr>
          <w:sz w:val="24"/>
          <w:szCs w:val="24"/>
        </w:rPr>
        <w:t xml:space="preserve"> at an institutional (rather than subject or individual) level and provide institutional level benefits; </w:t>
      </w:r>
    </w:p>
    <w:p w14:paraId="5CDDDD43" w14:textId="77777777" w:rsidR="0062616A" w:rsidRPr="0078109B" w:rsidRDefault="005B58C0" w:rsidP="0078109B">
      <w:pPr>
        <w:pStyle w:val="ListParagraph"/>
        <w:numPr>
          <w:ilvl w:val="0"/>
          <w:numId w:val="4"/>
        </w:numPr>
        <w:rPr>
          <w:sz w:val="24"/>
          <w:szCs w:val="24"/>
        </w:rPr>
      </w:pPr>
      <w:r w:rsidRPr="0078109B">
        <w:rPr>
          <w:rFonts w:cs="Kings Caslon Text"/>
          <w:color w:val="000000"/>
          <w:sz w:val="24"/>
          <w:szCs w:val="24"/>
        </w:rPr>
        <w:t>b</w:t>
      </w:r>
      <w:r w:rsidR="0062616A" w:rsidRPr="0078109B">
        <w:rPr>
          <w:rFonts w:cs="Kings Caslon Text"/>
          <w:color w:val="000000"/>
          <w:sz w:val="24"/>
          <w:szCs w:val="24"/>
        </w:rPr>
        <w:t>e regulated by the University’s approved legal framework;</w:t>
      </w:r>
    </w:p>
    <w:p w14:paraId="467E2CBB" w14:textId="77777777" w:rsidR="00F275BE" w:rsidRPr="0078109B" w:rsidRDefault="00F275BE" w:rsidP="0078109B">
      <w:pPr>
        <w:pStyle w:val="ListParagraph"/>
        <w:numPr>
          <w:ilvl w:val="0"/>
          <w:numId w:val="4"/>
        </w:numPr>
        <w:rPr>
          <w:sz w:val="24"/>
          <w:szCs w:val="24"/>
        </w:rPr>
      </w:pPr>
      <w:r w:rsidRPr="0078109B">
        <w:rPr>
          <w:sz w:val="24"/>
          <w:szCs w:val="24"/>
        </w:rPr>
        <w:t>be financially viable and feasible, fully costed and priced accordingly;</w:t>
      </w:r>
    </w:p>
    <w:p w14:paraId="7186D028" w14:textId="0A6E122E" w:rsidR="004233C4" w:rsidRPr="0078109B" w:rsidRDefault="00F275BE" w:rsidP="0078109B">
      <w:pPr>
        <w:pStyle w:val="ListParagraph"/>
        <w:numPr>
          <w:ilvl w:val="0"/>
          <w:numId w:val="4"/>
        </w:numPr>
        <w:rPr>
          <w:sz w:val="24"/>
          <w:szCs w:val="24"/>
        </w:rPr>
      </w:pPr>
      <w:r w:rsidRPr="0078109B">
        <w:rPr>
          <w:sz w:val="24"/>
          <w:szCs w:val="24"/>
        </w:rPr>
        <w:t>have a</w:t>
      </w:r>
      <w:r w:rsidR="0062616A" w:rsidRPr="0078109B">
        <w:rPr>
          <w:sz w:val="24"/>
          <w:szCs w:val="24"/>
        </w:rPr>
        <w:t>n</w:t>
      </w:r>
      <w:r w:rsidRPr="0078109B">
        <w:rPr>
          <w:sz w:val="24"/>
          <w:szCs w:val="24"/>
        </w:rPr>
        <w:t xml:space="preserve"> Agreement in place signed by one of the University’s authorised signatories</w:t>
      </w:r>
      <w:r w:rsidR="0020563F" w:rsidRPr="0078109B">
        <w:rPr>
          <w:sz w:val="24"/>
          <w:szCs w:val="24"/>
        </w:rPr>
        <w:t xml:space="preserve"> and the authorised signatory of partner(s)</w:t>
      </w:r>
      <w:r w:rsidR="005B58C0" w:rsidRPr="0078109B">
        <w:rPr>
          <w:sz w:val="24"/>
          <w:szCs w:val="24"/>
        </w:rPr>
        <w:t>.</w:t>
      </w:r>
      <w:r w:rsidRPr="0078109B">
        <w:rPr>
          <w:sz w:val="24"/>
          <w:szCs w:val="24"/>
        </w:rPr>
        <w:t xml:space="preserve"> </w:t>
      </w:r>
    </w:p>
    <w:sectPr w:rsidR="004233C4" w:rsidRPr="007810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ings Caslon Text">
    <w:altName w:val="Kings Caslon Tex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C2F01"/>
    <w:multiLevelType w:val="multilevel"/>
    <w:tmpl w:val="04B2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466C30"/>
    <w:multiLevelType w:val="multilevel"/>
    <w:tmpl w:val="718C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660333"/>
    <w:multiLevelType w:val="hybridMultilevel"/>
    <w:tmpl w:val="E514EDAE"/>
    <w:lvl w:ilvl="0" w:tplc="E81E5C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8952D0"/>
    <w:multiLevelType w:val="hybridMultilevel"/>
    <w:tmpl w:val="7D70B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5BE"/>
    <w:rsid w:val="001C302A"/>
    <w:rsid w:val="001E020F"/>
    <w:rsid w:val="0020563F"/>
    <w:rsid w:val="002A577E"/>
    <w:rsid w:val="002F59F1"/>
    <w:rsid w:val="004233C4"/>
    <w:rsid w:val="00434BA1"/>
    <w:rsid w:val="004F4ECB"/>
    <w:rsid w:val="005B58C0"/>
    <w:rsid w:val="0062616A"/>
    <w:rsid w:val="00660D53"/>
    <w:rsid w:val="006E3AEA"/>
    <w:rsid w:val="00741060"/>
    <w:rsid w:val="00755E20"/>
    <w:rsid w:val="0078109B"/>
    <w:rsid w:val="008242C4"/>
    <w:rsid w:val="008505BA"/>
    <w:rsid w:val="008E11C3"/>
    <w:rsid w:val="00B2443D"/>
    <w:rsid w:val="00C522D7"/>
    <w:rsid w:val="00DD0075"/>
    <w:rsid w:val="00E410C9"/>
    <w:rsid w:val="00EA6D4E"/>
    <w:rsid w:val="00EB7165"/>
    <w:rsid w:val="00F275BE"/>
    <w:rsid w:val="00F30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A103"/>
  <w15:chartTrackingRefBased/>
  <w15:docId w15:val="{870F5831-B326-414B-9902-1DC5C386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nhideWhenUsed/>
    <w:rsid w:val="004233C4"/>
    <w:pPr>
      <w:suppressAutoHyphens/>
      <w:spacing w:after="0" w:line="240" w:lineRule="auto"/>
      <w:ind w:left="720"/>
    </w:pPr>
    <w:rPr>
      <w:rFonts w:ascii="Arial" w:eastAsia="Times New Roman" w:hAnsi="Arial" w:cs="Times New Roman"/>
      <w:szCs w:val="24"/>
      <w:lang w:eastAsia="ar-SA"/>
    </w:rPr>
  </w:style>
  <w:style w:type="character" w:customStyle="1" w:styleId="BodyTextIndent3Char">
    <w:name w:val="Body Text Indent 3 Char"/>
    <w:basedOn w:val="DefaultParagraphFont"/>
    <w:link w:val="BodyTextIndent3"/>
    <w:rsid w:val="004233C4"/>
    <w:rPr>
      <w:rFonts w:ascii="Arial" w:eastAsia="Times New Roman" w:hAnsi="Arial" w:cs="Times New Roman"/>
      <w:szCs w:val="24"/>
      <w:lang w:eastAsia="ar-SA"/>
    </w:rPr>
  </w:style>
  <w:style w:type="character" w:customStyle="1" w:styleId="CPHSub-HeadingChar">
    <w:name w:val="CPH Sub-Heading Char"/>
    <w:link w:val="CPHSub-Heading"/>
    <w:locked/>
    <w:rsid w:val="004233C4"/>
    <w:rPr>
      <w:rFonts w:ascii="Arial" w:hAnsi="Arial" w:cs="Arial"/>
      <w:b/>
      <w:lang w:eastAsia="ar-SA"/>
    </w:rPr>
  </w:style>
  <w:style w:type="paragraph" w:customStyle="1" w:styleId="CPHSub-Heading">
    <w:name w:val="CPH Sub-Heading"/>
    <w:basedOn w:val="Normal"/>
    <w:link w:val="CPHSub-HeadingChar"/>
    <w:qFormat/>
    <w:rsid w:val="004233C4"/>
    <w:pPr>
      <w:suppressAutoHyphens/>
      <w:spacing w:after="0" w:line="240" w:lineRule="auto"/>
    </w:pPr>
    <w:rPr>
      <w:rFonts w:ascii="Arial" w:hAnsi="Arial" w:cs="Arial"/>
      <w:b/>
      <w:lang w:eastAsia="ar-SA"/>
    </w:rPr>
  </w:style>
  <w:style w:type="paragraph" w:customStyle="1" w:styleId="Default">
    <w:name w:val="Default"/>
    <w:rsid w:val="004233C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B2443D"/>
    <w:pPr>
      <w:spacing w:before="100" w:beforeAutospacing="1" w:after="100" w:afterAutospacing="1" w:line="240" w:lineRule="auto"/>
    </w:pPr>
    <w:rPr>
      <w:rFonts w:ascii="Times New Roman" w:eastAsia="Times New Roman" w:hAnsi="Times New Roman" w:cs="Times New Roman"/>
      <w:color w:val="343536"/>
      <w:sz w:val="30"/>
      <w:szCs w:val="30"/>
      <w:lang w:eastAsia="en-GB"/>
    </w:rPr>
  </w:style>
  <w:style w:type="paragraph" w:styleId="ListParagraph">
    <w:name w:val="List Paragraph"/>
    <w:basedOn w:val="Normal"/>
    <w:uiPriority w:val="34"/>
    <w:qFormat/>
    <w:rsid w:val="00660D53"/>
    <w:pPr>
      <w:ind w:left="720"/>
      <w:contextualSpacing/>
    </w:pPr>
  </w:style>
  <w:style w:type="paragraph" w:styleId="BalloonText">
    <w:name w:val="Balloon Text"/>
    <w:basedOn w:val="Normal"/>
    <w:link w:val="BalloonTextChar"/>
    <w:uiPriority w:val="99"/>
    <w:semiHidden/>
    <w:unhideWhenUsed/>
    <w:rsid w:val="002F5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9F1"/>
    <w:rPr>
      <w:rFonts w:ascii="Segoe UI" w:hAnsi="Segoe UI" w:cs="Segoe UI"/>
      <w:sz w:val="18"/>
      <w:szCs w:val="18"/>
    </w:rPr>
  </w:style>
  <w:style w:type="character" w:styleId="CommentReference">
    <w:name w:val="annotation reference"/>
    <w:basedOn w:val="DefaultParagraphFont"/>
    <w:uiPriority w:val="99"/>
    <w:semiHidden/>
    <w:unhideWhenUsed/>
    <w:rsid w:val="00E410C9"/>
    <w:rPr>
      <w:sz w:val="16"/>
      <w:szCs w:val="16"/>
    </w:rPr>
  </w:style>
  <w:style w:type="paragraph" w:styleId="CommentText">
    <w:name w:val="annotation text"/>
    <w:basedOn w:val="Normal"/>
    <w:link w:val="CommentTextChar"/>
    <w:uiPriority w:val="99"/>
    <w:semiHidden/>
    <w:unhideWhenUsed/>
    <w:rsid w:val="00E410C9"/>
    <w:pPr>
      <w:spacing w:line="240" w:lineRule="auto"/>
    </w:pPr>
    <w:rPr>
      <w:sz w:val="20"/>
      <w:szCs w:val="20"/>
    </w:rPr>
  </w:style>
  <w:style w:type="character" w:customStyle="1" w:styleId="CommentTextChar">
    <w:name w:val="Comment Text Char"/>
    <w:basedOn w:val="DefaultParagraphFont"/>
    <w:link w:val="CommentText"/>
    <w:uiPriority w:val="99"/>
    <w:semiHidden/>
    <w:rsid w:val="00E410C9"/>
    <w:rPr>
      <w:sz w:val="20"/>
      <w:szCs w:val="20"/>
    </w:rPr>
  </w:style>
  <w:style w:type="paragraph" w:styleId="CommentSubject">
    <w:name w:val="annotation subject"/>
    <w:basedOn w:val="CommentText"/>
    <w:next w:val="CommentText"/>
    <w:link w:val="CommentSubjectChar"/>
    <w:uiPriority w:val="99"/>
    <w:semiHidden/>
    <w:unhideWhenUsed/>
    <w:rsid w:val="00E410C9"/>
    <w:rPr>
      <w:b/>
      <w:bCs/>
    </w:rPr>
  </w:style>
  <w:style w:type="character" w:customStyle="1" w:styleId="CommentSubjectChar">
    <w:name w:val="Comment Subject Char"/>
    <w:basedOn w:val="CommentTextChar"/>
    <w:link w:val="CommentSubject"/>
    <w:uiPriority w:val="99"/>
    <w:semiHidden/>
    <w:rsid w:val="00E410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13329">
      <w:bodyDiv w:val="1"/>
      <w:marLeft w:val="0"/>
      <w:marRight w:val="0"/>
      <w:marTop w:val="0"/>
      <w:marBottom w:val="0"/>
      <w:divBdr>
        <w:top w:val="none" w:sz="0" w:space="0" w:color="auto"/>
        <w:left w:val="none" w:sz="0" w:space="0" w:color="auto"/>
        <w:bottom w:val="none" w:sz="0" w:space="0" w:color="auto"/>
        <w:right w:val="none" w:sz="0" w:space="0" w:color="auto"/>
      </w:divBdr>
      <w:divsChild>
        <w:div w:id="489181157">
          <w:marLeft w:val="0"/>
          <w:marRight w:val="0"/>
          <w:marTop w:val="0"/>
          <w:marBottom w:val="0"/>
          <w:divBdr>
            <w:top w:val="none" w:sz="0" w:space="0" w:color="auto"/>
            <w:left w:val="none" w:sz="0" w:space="0" w:color="auto"/>
            <w:bottom w:val="none" w:sz="0" w:space="0" w:color="auto"/>
            <w:right w:val="none" w:sz="0" w:space="0" w:color="auto"/>
          </w:divBdr>
          <w:divsChild>
            <w:div w:id="1596667191">
              <w:marLeft w:val="0"/>
              <w:marRight w:val="0"/>
              <w:marTop w:val="0"/>
              <w:marBottom w:val="0"/>
              <w:divBdr>
                <w:top w:val="none" w:sz="0" w:space="0" w:color="auto"/>
                <w:left w:val="none" w:sz="0" w:space="0" w:color="auto"/>
                <w:bottom w:val="none" w:sz="0" w:space="0" w:color="auto"/>
                <w:right w:val="none" w:sz="0" w:space="0" w:color="auto"/>
              </w:divBdr>
              <w:divsChild>
                <w:div w:id="980036390">
                  <w:marLeft w:val="0"/>
                  <w:marRight w:val="0"/>
                  <w:marTop w:val="0"/>
                  <w:marBottom w:val="600"/>
                  <w:divBdr>
                    <w:top w:val="none" w:sz="0" w:space="0" w:color="auto"/>
                    <w:left w:val="none" w:sz="0" w:space="0" w:color="auto"/>
                    <w:bottom w:val="none" w:sz="0" w:space="0" w:color="auto"/>
                    <w:right w:val="none" w:sz="0" w:space="0" w:color="auto"/>
                  </w:divBdr>
                  <w:divsChild>
                    <w:div w:id="30620944">
                      <w:marLeft w:val="0"/>
                      <w:marRight w:val="0"/>
                      <w:marTop w:val="0"/>
                      <w:marBottom w:val="0"/>
                      <w:divBdr>
                        <w:top w:val="none" w:sz="0" w:space="0" w:color="auto"/>
                        <w:left w:val="none" w:sz="0" w:space="0" w:color="auto"/>
                        <w:bottom w:val="none" w:sz="0" w:space="0" w:color="auto"/>
                        <w:right w:val="none" w:sz="0" w:space="0" w:color="auto"/>
                      </w:divBdr>
                      <w:divsChild>
                        <w:div w:id="1995915432">
                          <w:marLeft w:val="0"/>
                          <w:marRight w:val="0"/>
                          <w:marTop w:val="0"/>
                          <w:marBottom w:val="0"/>
                          <w:divBdr>
                            <w:top w:val="none" w:sz="0" w:space="0" w:color="auto"/>
                            <w:left w:val="none" w:sz="0" w:space="0" w:color="auto"/>
                            <w:bottom w:val="none" w:sz="0" w:space="0" w:color="auto"/>
                            <w:right w:val="none" w:sz="0" w:space="0" w:color="auto"/>
                          </w:divBdr>
                          <w:divsChild>
                            <w:div w:id="175574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982931">
      <w:bodyDiv w:val="1"/>
      <w:marLeft w:val="0"/>
      <w:marRight w:val="0"/>
      <w:marTop w:val="0"/>
      <w:marBottom w:val="0"/>
      <w:divBdr>
        <w:top w:val="none" w:sz="0" w:space="0" w:color="auto"/>
        <w:left w:val="none" w:sz="0" w:space="0" w:color="auto"/>
        <w:bottom w:val="none" w:sz="0" w:space="0" w:color="auto"/>
        <w:right w:val="none" w:sz="0" w:space="0" w:color="auto"/>
      </w:divBdr>
    </w:div>
    <w:div w:id="192741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STRATFORD B.</dc:creator>
  <cp:keywords/>
  <dc:description/>
  <cp:lastModifiedBy>Joanna Parketny</cp:lastModifiedBy>
  <cp:revision>2</cp:revision>
  <cp:lastPrinted>2019-09-26T08:47:00Z</cp:lastPrinted>
  <dcterms:created xsi:type="dcterms:W3CDTF">2019-10-24T07:49:00Z</dcterms:created>
  <dcterms:modified xsi:type="dcterms:W3CDTF">2019-10-24T07:49:00Z</dcterms:modified>
</cp:coreProperties>
</file>